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D3" w:rsidRPr="00097FE5" w:rsidRDefault="00EC11D3" w:rsidP="00097FE5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097FE5">
        <w:rPr>
          <w:rFonts w:ascii="Verdana" w:hAnsi="Verdana"/>
          <w:b/>
          <w:sz w:val="20"/>
          <w:szCs w:val="20"/>
        </w:rPr>
        <w:t>INTERTANKO</w:t>
      </w:r>
      <w:r w:rsidR="00FB0689" w:rsidRPr="00097FE5">
        <w:rPr>
          <w:rFonts w:ascii="Verdana" w:hAnsi="Verdana"/>
          <w:b/>
          <w:sz w:val="20"/>
          <w:szCs w:val="20"/>
        </w:rPr>
        <w:t xml:space="preserve"> and </w:t>
      </w:r>
      <w:r w:rsidRPr="00097FE5">
        <w:rPr>
          <w:rFonts w:ascii="Verdana" w:hAnsi="Verdana"/>
          <w:b/>
          <w:sz w:val="20"/>
          <w:szCs w:val="20"/>
        </w:rPr>
        <w:t xml:space="preserve">OCIMF </w:t>
      </w:r>
      <w:r w:rsidR="00FB0689" w:rsidRPr="00097FE5">
        <w:rPr>
          <w:rFonts w:ascii="Verdana" w:hAnsi="Verdana"/>
          <w:b/>
          <w:sz w:val="20"/>
          <w:szCs w:val="20"/>
        </w:rPr>
        <w:t>joint maritime security update on Fujairah attacks</w:t>
      </w:r>
    </w:p>
    <w:p w:rsidR="00DC3636" w:rsidRPr="00097FE5" w:rsidRDefault="00DC3636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DC3636" w:rsidRPr="00097FE5" w:rsidRDefault="00EC11D3" w:rsidP="00097FE5">
      <w:pPr>
        <w:pStyle w:val="NoSpacing"/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The incidents against tankers at anchor off the Port of Fujairah</w:t>
      </w:r>
      <w:r w:rsidR="00B275D3" w:rsidRPr="00097FE5">
        <w:rPr>
          <w:rFonts w:ascii="Verdana" w:hAnsi="Verdana"/>
          <w:sz w:val="20"/>
          <w:szCs w:val="20"/>
        </w:rPr>
        <w:t>, United Arab Emirates (UAE)</w:t>
      </w:r>
      <w:r w:rsidRPr="00097FE5">
        <w:rPr>
          <w:rFonts w:ascii="Verdana" w:hAnsi="Verdana"/>
          <w:sz w:val="20"/>
          <w:szCs w:val="20"/>
        </w:rPr>
        <w:t xml:space="preserve"> on Sunday 12 </w:t>
      </w:r>
      <w:r w:rsidR="00B275D3" w:rsidRPr="00097FE5">
        <w:rPr>
          <w:rFonts w:ascii="Verdana" w:hAnsi="Verdana"/>
          <w:sz w:val="20"/>
          <w:szCs w:val="20"/>
        </w:rPr>
        <w:t xml:space="preserve">May </w:t>
      </w:r>
      <w:r w:rsidR="00320809" w:rsidRPr="00097FE5">
        <w:rPr>
          <w:rFonts w:ascii="Verdana" w:hAnsi="Verdana"/>
          <w:sz w:val="20"/>
          <w:szCs w:val="20"/>
        </w:rPr>
        <w:t xml:space="preserve">have </w:t>
      </w:r>
      <w:r w:rsidRPr="00097FE5">
        <w:rPr>
          <w:rFonts w:ascii="Verdana" w:hAnsi="Verdana"/>
          <w:sz w:val="20"/>
          <w:szCs w:val="20"/>
        </w:rPr>
        <w:t xml:space="preserve">been widely reported. </w:t>
      </w:r>
      <w:r w:rsidR="00320809" w:rsidRPr="00097FE5">
        <w:rPr>
          <w:rFonts w:ascii="Verdana" w:hAnsi="Verdana"/>
          <w:sz w:val="20"/>
          <w:szCs w:val="20"/>
        </w:rPr>
        <w:t>W</w:t>
      </w:r>
      <w:r w:rsidRPr="00097FE5">
        <w:rPr>
          <w:rFonts w:ascii="Verdana" w:hAnsi="Verdana"/>
          <w:sz w:val="20"/>
          <w:szCs w:val="20"/>
        </w:rPr>
        <w:t>hil</w:t>
      </w:r>
      <w:r w:rsidR="00320809" w:rsidRPr="00097FE5">
        <w:rPr>
          <w:rFonts w:ascii="Verdana" w:hAnsi="Verdana"/>
          <w:sz w:val="20"/>
          <w:szCs w:val="20"/>
        </w:rPr>
        <w:t>e</w:t>
      </w:r>
      <w:r w:rsidRPr="00097FE5">
        <w:rPr>
          <w:rFonts w:ascii="Verdana" w:hAnsi="Verdana"/>
          <w:sz w:val="20"/>
          <w:szCs w:val="20"/>
        </w:rPr>
        <w:t xml:space="preserve"> </w:t>
      </w:r>
      <w:r w:rsidR="00A52420" w:rsidRPr="00097FE5">
        <w:rPr>
          <w:rFonts w:ascii="Verdana" w:hAnsi="Verdana"/>
          <w:sz w:val="20"/>
          <w:szCs w:val="20"/>
        </w:rPr>
        <w:t xml:space="preserve">damage </w:t>
      </w:r>
      <w:r w:rsidR="00320809" w:rsidRPr="00097FE5">
        <w:rPr>
          <w:rFonts w:ascii="Verdana" w:hAnsi="Verdana"/>
          <w:sz w:val="20"/>
          <w:szCs w:val="20"/>
        </w:rPr>
        <w:t xml:space="preserve">was </w:t>
      </w:r>
      <w:r w:rsidRPr="00097FE5">
        <w:rPr>
          <w:rFonts w:ascii="Verdana" w:hAnsi="Verdana"/>
          <w:sz w:val="20"/>
          <w:szCs w:val="20"/>
        </w:rPr>
        <w:t>caused to vessels</w:t>
      </w:r>
      <w:r w:rsidR="00320809" w:rsidRPr="00097FE5">
        <w:rPr>
          <w:rFonts w:ascii="Verdana" w:hAnsi="Verdana"/>
          <w:sz w:val="20"/>
          <w:szCs w:val="20"/>
        </w:rPr>
        <w:t>,</w:t>
      </w:r>
      <w:r w:rsidRPr="00097FE5">
        <w:rPr>
          <w:rFonts w:ascii="Verdana" w:hAnsi="Verdana"/>
          <w:sz w:val="20"/>
          <w:szCs w:val="20"/>
        </w:rPr>
        <w:t xml:space="preserve"> </w:t>
      </w:r>
      <w:r w:rsidR="00320809" w:rsidRPr="00097FE5">
        <w:rPr>
          <w:rFonts w:ascii="Verdana" w:hAnsi="Verdana"/>
          <w:sz w:val="20"/>
          <w:szCs w:val="20"/>
        </w:rPr>
        <w:t xml:space="preserve">INTERTANKO and OCIMF </w:t>
      </w:r>
      <w:r w:rsidRPr="00097FE5">
        <w:rPr>
          <w:rFonts w:ascii="Verdana" w:hAnsi="Verdana"/>
          <w:sz w:val="20"/>
          <w:szCs w:val="20"/>
        </w:rPr>
        <w:t>are reli</w:t>
      </w:r>
      <w:r w:rsidR="00320809" w:rsidRPr="00097FE5">
        <w:rPr>
          <w:rFonts w:ascii="Verdana" w:hAnsi="Verdana"/>
          <w:sz w:val="20"/>
          <w:szCs w:val="20"/>
        </w:rPr>
        <w:t>e</w:t>
      </w:r>
      <w:r w:rsidRPr="00097FE5">
        <w:rPr>
          <w:rFonts w:ascii="Verdana" w:hAnsi="Verdana"/>
          <w:sz w:val="20"/>
          <w:szCs w:val="20"/>
        </w:rPr>
        <w:t xml:space="preserve">ved </w:t>
      </w:r>
      <w:r w:rsidR="00097FE5">
        <w:rPr>
          <w:rFonts w:ascii="Verdana" w:hAnsi="Verdana"/>
          <w:sz w:val="20"/>
          <w:szCs w:val="20"/>
        </w:rPr>
        <w:t xml:space="preserve">that </w:t>
      </w:r>
      <w:r w:rsidRPr="00097FE5">
        <w:rPr>
          <w:rFonts w:ascii="Verdana" w:hAnsi="Verdana"/>
          <w:sz w:val="20"/>
          <w:szCs w:val="20"/>
        </w:rPr>
        <w:t xml:space="preserve">no seafarers were </w:t>
      </w:r>
      <w:r w:rsidR="00320809" w:rsidRPr="00097FE5">
        <w:rPr>
          <w:rFonts w:ascii="Verdana" w:hAnsi="Verdana"/>
          <w:sz w:val="20"/>
          <w:szCs w:val="20"/>
        </w:rPr>
        <w:t xml:space="preserve">injured </w:t>
      </w:r>
      <w:r w:rsidRPr="00097FE5">
        <w:rPr>
          <w:rFonts w:ascii="Verdana" w:hAnsi="Verdana"/>
          <w:sz w:val="20"/>
          <w:szCs w:val="20"/>
        </w:rPr>
        <w:t xml:space="preserve">or pollution detected.  We appreciate the </w:t>
      </w:r>
      <w:r w:rsidR="00320809" w:rsidRPr="00097FE5">
        <w:rPr>
          <w:rFonts w:ascii="Verdana" w:hAnsi="Verdana"/>
          <w:sz w:val="20"/>
          <w:szCs w:val="20"/>
        </w:rPr>
        <w:t>support</w:t>
      </w:r>
      <w:r w:rsidRPr="00097FE5">
        <w:rPr>
          <w:rFonts w:ascii="Verdana" w:hAnsi="Verdana"/>
          <w:sz w:val="20"/>
          <w:szCs w:val="20"/>
        </w:rPr>
        <w:t xml:space="preserve"> </w:t>
      </w:r>
      <w:r w:rsidR="00097FE5">
        <w:rPr>
          <w:rFonts w:ascii="Verdana" w:hAnsi="Verdana"/>
          <w:sz w:val="20"/>
          <w:szCs w:val="20"/>
        </w:rPr>
        <w:t xml:space="preserve">that </w:t>
      </w:r>
      <w:r w:rsidRPr="00097FE5">
        <w:rPr>
          <w:rFonts w:ascii="Verdana" w:hAnsi="Verdana"/>
          <w:sz w:val="20"/>
          <w:szCs w:val="20"/>
        </w:rPr>
        <w:t xml:space="preserve">the UAE and Fujairah Port Authority </w:t>
      </w:r>
      <w:r w:rsidR="00320809" w:rsidRPr="00097FE5">
        <w:rPr>
          <w:rFonts w:ascii="Verdana" w:hAnsi="Verdana"/>
          <w:sz w:val="20"/>
          <w:szCs w:val="20"/>
        </w:rPr>
        <w:t xml:space="preserve">have given </w:t>
      </w:r>
      <w:r w:rsidRPr="00097FE5">
        <w:rPr>
          <w:rFonts w:ascii="Verdana" w:hAnsi="Verdana"/>
          <w:sz w:val="20"/>
          <w:szCs w:val="20"/>
        </w:rPr>
        <w:t xml:space="preserve">to those affected by these incidents.       </w:t>
      </w:r>
    </w:p>
    <w:p w:rsidR="00EC11D3" w:rsidRPr="00097FE5" w:rsidRDefault="00EC11D3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171D9" w:rsidRDefault="007171D9" w:rsidP="00097FE5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  <w:r w:rsidRPr="00097FE5">
        <w:rPr>
          <w:rFonts w:ascii="Verdana" w:hAnsi="Verdana"/>
          <w:b/>
          <w:bCs/>
          <w:sz w:val="20"/>
          <w:szCs w:val="20"/>
        </w:rPr>
        <w:t>What we know</w:t>
      </w:r>
    </w:p>
    <w:p w:rsidR="00C85F55" w:rsidRPr="00097FE5" w:rsidRDefault="00C85F55" w:rsidP="00097FE5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</w:p>
    <w:p w:rsidR="0073483A" w:rsidRPr="00097FE5" w:rsidRDefault="00320809" w:rsidP="00097FE5">
      <w:pPr>
        <w:pStyle w:val="NoSpacing"/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bCs/>
          <w:sz w:val="20"/>
          <w:szCs w:val="20"/>
        </w:rPr>
        <w:t>F</w:t>
      </w:r>
      <w:r w:rsidR="00933455" w:rsidRPr="00097FE5">
        <w:rPr>
          <w:rFonts w:ascii="Verdana" w:hAnsi="Verdana"/>
          <w:bCs/>
          <w:sz w:val="20"/>
          <w:szCs w:val="20"/>
        </w:rPr>
        <w:t xml:space="preserve">our </w:t>
      </w:r>
      <w:r w:rsidR="00714871" w:rsidRPr="00097FE5">
        <w:rPr>
          <w:rFonts w:ascii="Verdana" w:hAnsi="Verdana"/>
          <w:bCs/>
          <w:sz w:val="20"/>
          <w:szCs w:val="20"/>
        </w:rPr>
        <w:t>tankers</w:t>
      </w:r>
      <w:r w:rsidR="00933455" w:rsidRPr="00097FE5">
        <w:rPr>
          <w:rFonts w:ascii="Verdana" w:hAnsi="Verdana"/>
          <w:bCs/>
          <w:sz w:val="20"/>
          <w:szCs w:val="20"/>
        </w:rPr>
        <w:t xml:space="preserve"> were struck in Fujairah.  </w:t>
      </w:r>
    </w:p>
    <w:p w:rsidR="0073483A" w:rsidRPr="00097FE5" w:rsidRDefault="0073483A" w:rsidP="00097FE5">
      <w:pPr>
        <w:pStyle w:val="NoSpacing"/>
        <w:jc w:val="both"/>
        <w:rPr>
          <w:rFonts w:ascii="Verdana" w:eastAsia="Times New Roman" w:hAnsi="Verdana"/>
          <w:bCs/>
          <w:sz w:val="20"/>
          <w:szCs w:val="20"/>
        </w:rPr>
      </w:pPr>
      <w:r w:rsidRPr="00097FE5">
        <w:rPr>
          <w:rFonts w:ascii="Verdana" w:eastAsia="Times New Roman" w:hAnsi="Verdana"/>
          <w:bCs/>
          <w:sz w:val="20"/>
          <w:szCs w:val="20"/>
        </w:rPr>
        <w:t>The attack</w:t>
      </w:r>
      <w:r w:rsidR="001A3BB7" w:rsidRPr="00097FE5">
        <w:rPr>
          <w:rFonts w:ascii="Verdana" w:eastAsia="Times New Roman" w:hAnsi="Verdana"/>
          <w:bCs/>
          <w:sz w:val="20"/>
          <w:szCs w:val="20"/>
        </w:rPr>
        <w:t xml:space="preserve"> appears to have been</w:t>
      </w:r>
      <w:r w:rsidRPr="00097FE5">
        <w:rPr>
          <w:rFonts w:ascii="Verdana" w:eastAsia="Times New Roman" w:hAnsi="Verdana"/>
          <w:bCs/>
          <w:sz w:val="20"/>
          <w:szCs w:val="20"/>
        </w:rPr>
        <w:t xml:space="preserve"> well</w:t>
      </w:r>
      <w:r w:rsidR="0000779F" w:rsidRPr="00097FE5">
        <w:rPr>
          <w:rFonts w:ascii="Verdana" w:eastAsia="Times New Roman" w:hAnsi="Verdana"/>
          <w:bCs/>
          <w:sz w:val="20"/>
          <w:szCs w:val="20"/>
        </w:rPr>
        <w:t>-</w:t>
      </w:r>
      <w:r w:rsidRPr="00097FE5">
        <w:rPr>
          <w:rFonts w:ascii="Verdana" w:eastAsia="Times New Roman" w:hAnsi="Verdana"/>
          <w:bCs/>
          <w:sz w:val="20"/>
          <w:szCs w:val="20"/>
        </w:rPr>
        <w:t xml:space="preserve">planned and coordinated. </w:t>
      </w:r>
    </w:p>
    <w:p w:rsidR="0000779F" w:rsidRPr="00097FE5" w:rsidRDefault="00013E93" w:rsidP="00097FE5">
      <w:pPr>
        <w:pStyle w:val="NoSpacing"/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eastAsia="Times New Roman" w:hAnsi="Verdana"/>
          <w:bCs/>
          <w:sz w:val="20"/>
          <w:szCs w:val="20"/>
        </w:rPr>
        <w:t>It appears that e</w:t>
      </w:r>
      <w:r w:rsidR="0073483A" w:rsidRPr="00097FE5">
        <w:rPr>
          <w:rFonts w:ascii="Verdana" w:eastAsia="Times New Roman" w:hAnsi="Verdana"/>
          <w:bCs/>
          <w:sz w:val="20"/>
          <w:szCs w:val="20"/>
        </w:rPr>
        <w:t xml:space="preserve">ach vessel was attacked by a sub-surface </w:t>
      </w:r>
      <w:r w:rsidR="00017775" w:rsidRPr="00097FE5">
        <w:rPr>
          <w:rFonts w:ascii="Verdana" w:eastAsia="Times New Roman" w:hAnsi="Verdana"/>
          <w:bCs/>
          <w:sz w:val="20"/>
          <w:szCs w:val="20"/>
        </w:rPr>
        <w:t xml:space="preserve">explosive device </w:t>
      </w:r>
      <w:r w:rsidR="00A52420" w:rsidRPr="00097FE5">
        <w:rPr>
          <w:rFonts w:ascii="Verdana" w:eastAsia="Times New Roman" w:hAnsi="Verdana"/>
          <w:bCs/>
          <w:sz w:val="20"/>
          <w:szCs w:val="20"/>
        </w:rPr>
        <w:t xml:space="preserve">placed </w:t>
      </w:r>
      <w:r w:rsidR="0073483A" w:rsidRPr="00097FE5">
        <w:rPr>
          <w:rFonts w:ascii="Verdana" w:eastAsia="Times New Roman" w:hAnsi="Verdana"/>
          <w:bCs/>
          <w:sz w:val="20"/>
          <w:szCs w:val="20"/>
        </w:rPr>
        <w:t xml:space="preserve">by either a </w:t>
      </w:r>
      <w:r w:rsidR="0000779F" w:rsidRPr="00097FE5">
        <w:rPr>
          <w:rFonts w:ascii="Verdana" w:eastAsia="Times New Roman" w:hAnsi="Verdana"/>
          <w:bCs/>
          <w:sz w:val="20"/>
          <w:szCs w:val="20"/>
        </w:rPr>
        <w:t xml:space="preserve">remotely-operated vessel </w:t>
      </w:r>
      <w:r w:rsidR="0073483A" w:rsidRPr="00097FE5">
        <w:rPr>
          <w:rFonts w:ascii="Verdana" w:eastAsia="Times New Roman" w:hAnsi="Verdana"/>
          <w:bCs/>
          <w:sz w:val="20"/>
          <w:szCs w:val="20"/>
        </w:rPr>
        <w:t xml:space="preserve">or diver. </w:t>
      </w:r>
      <w:r w:rsidR="007171D9" w:rsidRPr="00097FE5">
        <w:rPr>
          <w:rFonts w:ascii="Verdana" w:eastAsia="Times New Roman" w:hAnsi="Verdana"/>
          <w:bCs/>
          <w:sz w:val="20"/>
          <w:szCs w:val="20"/>
        </w:rPr>
        <w:t xml:space="preserve">Both types of </w:t>
      </w:r>
      <w:r w:rsidR="0073483A" w:rsidRPr="00097FE5">
        <w:rPr>
          <w:rFonts w:ascii="Verdana" w:eastAsia="Times New Roman" w:hAnsi="Verdana"/>
          <w:bCs/>
          <w:sz w:val="20"/>
          <w:szCs w:val="20"/>
        </w:rPr>
        <w:t xml:space="preserve">delivery method </w:t>
      </w:r>
      <w:r w:rsidR="007171D9" w:rsidRPr="00097FE5">
        <w:rPr>
          <w:rFonts w:ascii="Verdana" w:eastAsia="Times New Roman" w:hAnsi="Verdana"/>
          <w:bCs/>
          <w:sz w:val="20"/>
          <w:szCs w:val="20"/>
        </w:rPr>
        <w:t>are more</w:t>
      </w:r>
      <w:r w:rsidR="0073483A" w:rsidRPr="00097FE5">
        <w:rPr>
          <w:rFonts w:ascii="Verdana" w:eastAsia="Times New Roman" w:hAnsi="Verdana"/>
          <w:bCs/>
          <w:sz w:val="20"/>
          <w:szCs w:val="20"/>
        </w:rPr>
        <w:t xml:space="preserve"> likely </w:t>
      </w:r>
      <w:r w:rsidR="007171D9" w:rsidRPr="00097FE5">
        <w:rPr>
          <w:rFonts w:ascii="Verdana" w:eastAsia="Times New Roman" w:hAnsi="Verdana"/>
          <w:bCs/>
          <w:sz w:val="20"/>
          <w:szCs w:val="20"/>
        </w:rPr>
        <w:t xml:space="preserve">to happen </w:t>
      </w:r>
      <w:r w:rsidR="0073483A" w:rsidRPr="00097FE5">
        <w:rPr>
          <w:rFonts w:ascii="Verdana" w:eastAsia="Times New Roman" w:hAnsi="Verdana"/>
          <w:bCs/>
          <w:sz w:val="20"/>
          <w:szCs w:val="20"/>
        </w:rPr>
        <w:t>when vessels are near stationary or in a very restricted waterway.</w:t>
      </w:r>
      <w:r w:rsidR="0000779F" w:rsidRPr="00097FE5">
        <w:rPr>
          <w:rFonts w:ascii="Verdana" w:eastAsia="Times New Roman" w:hAnsi="Verdana"/>
          <w:bCs/>
          <w:sz w:val="20"/>
          <w:szCs w:val="20"/>
        </w:rPr>
        <w:t xml:space="preserve"> </w:t>
      </w:r>
      <w:r w:rsidR="0000779F" w:rsidRPr="00097FE5">
        <w:rPr>
          <w:rFonts w:ascii="Verdana" w:hAnsi="Verdana"/>
          <w:sz w:val="20"/>
          <w:szCs w:val="20"/>
        </w:rPr>
        <w:t xml:space="preserve"> </w:t>
      </w:r>
    </w:p>
    <w:p w:rsidR="0000779F" w:rsidRPr="00097FE5" w:rsidRDefault="0000779F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3483A" w:rsidRPr="00097FE5" w:rsidRDefault="0000779F" w:rsidP="00097FE5">
      <w:pPr>
        <w:pStyle w:val="NoSpacing"/>
        <w:jc w:val="both"/>
        <w:rPr>
          <w:rFonts w:ascii="Verdana" w:eastAsia="Times New Roman" w:hAnsi="Verdana"/>
          <w:bCs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 xml:space="preserve">While Waterborne Improvised Explosive Devices (WBIED) have been used </w:t>
      </w:r>
      <w:r w:rsidR="00BD15D2" w:rsidRPr="00097FE5">
        <w:rPr>
          <w:rFonts w:ascii="Verdana" w:hAnsi="Verdana"/>
          <w:sz w:val="20"/>
          <w:szCs w:val="20"/>
        </w:rPr>
        <w:t xml:space="preserve">against </w:t>
      </w:r>
      <w:r w:rsidRPr="00097FE5">
        <w:rPr>
          <w:rFonts w:ascii="Verdana" w:hAnsi="Verdana"/>
          <w:sz w:val="20"/>
          <w:szCs w:val="20"/>
        </w:rPr>
        <w:t>vessels in the Southern Red Sea, the use of a sub-surface drone would require a higher level of sophistication.</w:t>
      </w:r>
    </w:p>
    <w:p w:rsidR="00CB7660" w:rsidRPr="00097FE5" w:rsidRDefault="00CB7660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171D9" w:rsidRPr="00097FE5" w:rsidRDefault="007171D9" w:rsidP="00097FE5">
      <w:pPr>
        <w:pStyle w:val="NoSpacing"/>
        <w:jc w:val="both"/>
        <w:rPr>
          <w:rFonts w:ascii="Verdana" w:eastAsia="Times New Roman" w:hAnsi="Verdana"/>
          <w:bCs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 xml:space="preserve">We understand </w:t>
      </w:r>
      <w:r w:rsidRPr="00097FE5">
        <w:rPr>
          <w:rFonts w:ascii="Verdana" w:eastAsia="Times New Roman" w:hAnsi="Verdana"/>
          <w:bCs/>
          <w:sz w:val="20"/>
          <w:szCs w:val="20"/>
        </w:rPr>
        <w:t>military assets are deployed off Fujairah for surveillance, monitoring and response.</w:t>
      </w:r>
    </w:p>
    <w:p w:rsidR="00CA05FA" w:rsidRPr="00097FE5" w:rsidRDefault="00CA05FA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6E4896" w:rsidRPr="00097FE5" w:rsidRDefault="00097FE5" w:rsidP="00097FE5">
      <w:pPr>
        <w:pStyle w:val="NoSpacing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we a</w:t>
      </w:r>
      <w:r w:rsidR="007171D9" w:rsidRPr="00097FE5">
        <w:rPr>
          <w:rFonts w:ascii="Verdana" w:hAnsi="Verdana"/>
          <w:b/>
          <w:sz w:val="20"/>
          <w:szCs w:val="20"/>
        </w:rPr>
        <w:t>re doing</w:t>
      </w:r>
    </w:p>
    <w:p w:rsidR="006E4896" w:rsidRPr="00097FE5" w:rsidRDefault="006E4896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171D9" w:rsidRPr="00097FE5" w:rsidRDefault="007171D9" w:rsidP="00097FE5">
      <w:pPr>
        <w:pStyle w:val="NoSpacing"/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 xml:space="preserve">INTERTANKO and OCIMF are in </w:t>
      </w:r>
      <w:r w:rsidR="001A3BB7" w:rsidRPr="00097FE5">
        <w:rPr>
          <w:rFonts w:ascii="Verdana" w:hAnsi="Verdana"/>
          <w:sz w:val="20"/>
          <w:szCs w:val="20"/>
        </w:rPr>
        <w:t xml:space="preserve">contact </w:t>
      </w:r>
      <w:r w:rsidRPr="00097FE5">
        <w:rPr>
          <w:rFonts w:ascii="Verdana" w:hAnsi="Verdana"/>
          <w:sz w:val="20"/>
          <w:szCs w:val="20"/>
        </w:rPr>
        <w:t xml:space="preserve">with the UAE and Saudi </w:t>
      </w:r>
      <w:r w:rsidR="00BD15D2" w:rsidRPr="00097FE5">
        <w:rPr>
          <w:rFonts w:ascii="Verdana" w:hAnsi="Verdana"/>
          <w:sz w:val="20"/>
          <w:szCs w:val="20"/>
        </w:rPr>
        <w:t>Flag Administrations</w:t>
      </w:r>
      <w:r w:rsidR="00250851" w:rsidRPr="00097FE5">
        <w:rPr>
          <w:rFonts w:ascii="Verdana" w:hAnsi="Verdana"/>
          <w:sz w:val="20"/>
          <w:szCs w:val="20"/>
        </w:rPr>
        <w:t>, the Combined Maritime Forces</w:t>
      </w:r>
      <w:r w:rsidR="00BD15D2" w:rsidRPr="00097FE5">
        <w:rPr>
          <w:rFonts w:ascii="Verdana" w:hAnsi="Verdana"/>
          <w:sz w:val="20"/>
          <w:szCs w:val="20"/>
        </w:rPr>
        <w:t xml:space="preserve"> </w:t>
      </w:r>
      <w:r w:rsidRPr="00097FE5">
        <w:rPr>
          <w:rFonts w:ascii="Verdana" w:hAnsi="Verdana"/>
          <w:sz w:val="20"/>
          <w:szCs w:val="20"/>
        </w:rPr>
        <w:t>and other industry associations</w:t>
      </w:r>
      <w:r w:rsidR="008961C9" w:rsidRPr="00097FE5">
        <w:rPr>
          <w:rFonts w:ascii="Verdana" w:hAnsi="Verdana"/>
          <w:sz w:val="20"/>
          <w:szCs w:val="20"/>
        </w:rPr>
        <w:t>.</w:t>
      </w:r>
      <w:r w:rsidR="00A85130" w:rsidRPr="00097FE5">
        <w:rPr>
          <w:rFonts w:ascii="Verdana" w:hAnsi="Verdana"/>
          <w:sz w:val="20"/>
          <w:szCs w:val="20"/>
        </w:rPr>
        <w:t xml:space="preserve"> </w:t>
      </w:r>
    </w:p>
    <w:p w:rsidR="00933455" w:rsidRPr="00097FE5" w:rsidRDefault="00933455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171D9" w:rsidRPr="00097FE5" w:rsidRDefault="00845F87" w:rsidP="00097FE5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097FE5">
        <w:rPr>
          <w:rFonts w:ascii="Verdana" w:hAnsi="Verdana"/>
          <w:b/>
          <w:sz w:val="20"/>
          <w:szCs w:val="20"/>
        </w:rPr>
        <w:t>Risk mitigation</w:t>
      </w:r>
      <w:r w:rsidR="007171D9" w:rsidRPr="00097FE5">
        <w:rPr>
          <w:rFonts w:ascii="Verdana" w:hAnsi="Verdana"/>
          <w:b/>
          <w:sz w:val="20"/>
          <w:szCs w:val="20"/>
        </w:rPr>
        <w:t xml:space="preserve"> measures</w:t>
      </w:r>
    </w:p>
    <w:p w:rsidR="00BF12FF" w:rsidRPr="00097FE5" w:rsidRDefault="00BF12FF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F12FF" w:rsidRPr="00097FE5" w:rsidRDefault="00BF12FF" w:rsidP="00097FE5">
      <w:pPr>
        <w:pStyle w:val="NoSpacing"/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INTERTANKO</w:t>
      </w:r>
      <w:r w:rsidR="00933455" w:rsidRPr="00097FE5">
        <w:rPr>
          <w:rFonts w:ascii="Verdana" w:hAnsi="Verdana"/>
          <w:sz w:val="20"/>
          <w:szCs w:val="20"/>
        </w:rPr>
        <w:t xml:space="preserve"> and OCIMF</w:t>
      </w:r>
      <w:r w:rsidR="00714871" w:rsidRPr="00097FE5">
        <w:rPr>
          <w:rFonts w:ascii="Verdana" w:hAnsi="Verdana"/>
          <w:sz w:val="20"/>
          <w:szCs w:val="20"/>
        </w:rPr>
        <w:t xml:space="preserve"> recommend that companies review </w:t>
      </w:r>
      <w:r w:rsidR="00714871" w:rsidRPr="00097FE5">
        <w:rPr>
          <w:rFonts w:ascii="Verdana" w:hAnsi="Verdana"/>
          <w:i/>
          <w:sz w:val="20"/>
          <w:szCs w:val="20"/>
        </w:rPr>
        <w:t xml:space="preserve">BMP5 </w:t>
      </w:r>
      <w:r w:rsidR="00714871" w:rsidRPr="00097FE5">
        <w:rPr>
          <w:rFonts w:ascii="Verdana" w:hAnsi="Verdana"/>
          <w:sz w:val="20"/>
          <w:szCs w:val="20"/>
        </w:rPr>
        <w:t>and consider sending the following guidance to vessels</w:t>
      </w:r>
      <w:r w:rsidRPr="00097FE5">
        <w:rPr>
          <w:rFonts w:ascii="Verdana" w:hAnsi="Verdana"/>
          <w:sz w:val="20"/>
          <w:szCs w:val="20"/>
        </w:rPr>
        <w:t>:</w:t>
      </w:r>
    </w:p>
    <w:p w:rsidR="008100E2" w:rsidRPr="00097FE5" w:rsidRDefault="008100E2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4F60E3" w:rsidRPr="00097FE5" w:rsidRDefault="00C5766D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 xml:space="preserve">Undertake a new ship- and voyage-specific threat risk assessment before </w:t>
      </w:r>
      <w:r w:rsidR="004F60E3" w:rsidRPr="00097FE5">
        <w:rPr>
          <w:rFonts w:ascii="Verdana" w:hAnsi="Verdana"/>
          <w:sz w:val="20"/>
          <w:szCs w:val="20"/>
        </w:rPr>
        <w:t xml:space="preserve">entering </w:t>
      </w:r>
      <w:r w:rsidR="00933455" w:rsidRPr="00097FE5">
        <w:rPr>
          <w:rFonts w:ascii="Verdana" w:hAnsi="Verdana"/>
          <w:sz w:val="20"/>
          <w:szCs w:val="20"/>
        </w:rPr>
        <w:t xml:space="preserve">any </w:t>
      </w:r>
      <w:r w:rsidR="004F60E3" w:rsidRPr="00097FE5">
        <w:rPr>
          <w:rFonts w:ascii="Verdana" w:hAnsi="Verdana"/>
          <w:sz w:val="20"/>
          <w:szCs w:val="20"/>
        </w:rPr>
        <w:t>region</w:t>
      </w:r>
      <w:r w:rsidR="00933455" w:rsidRPr="00097FE5">
        <w:rPr>
          <w:rFonts w:ascii="Verdana" w:hAnsi="Verdana"/>
          <w:sz w:val="20"/>
          <w:szCs w:val="20"/>
        </w:rPr>
        <w:t xml:space="preserve"> where there has been an incident or the threat has changed</w:t>
      </w:r>
      <w:r w:rsidRPr="00097FE5">
        <w:rPr>
          <w:rFonts w:ascii="Verdana" w:hAnsi="Verdana"/>
          <w:sz w:val="20"/>
          <w:szCs w:val="20"/>
        </w:rPr>
        <w:t>.</w:t>
      </w:r>
    </w:p>
    <w:p w:rsidR="004F60E3" w:rsidRPr="00097FE5" w:rsidRDefault="00FF4ECD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After the risk assessment,</w:t>
      </w:r>
      <w:r w:rsidR="00C5766D" w:rsidRPr="00097FE5">
        <w:rPr>
          <w:rFonts w:ascii="Verdana" w:hAnsi="Verdana"/>
          <w:sz w:val="20"/>
          <w:szCs w:val="20"/>
        </w:rPr>
        <w:t xml:space="preserve"> review t</w:t>
      </w:r>
      <w:r w:rsidR="004F60E3" w:rsidRPr="00097FE5">
        <w:rPr>
          <w:rFonts w:ascii="Verdana" w:hAnsi="Verdana"/>
          <w:sz w:val="20"/>
          <w:szCs w:val="20"/>
        </w:rPr>
        <w:t>he Ship’s Security Plan</w:t>
      </w:r>
      <w:r w:rsidR="00C5766D" w:rsidRPr="00097FE5">
        <w:rPr>
          <w:rFonts w:ascii="Verdana" w:hAnsi="Verdana"/>
          <w:sz w:val="20"/>
          <w:szCs w:val="20"/>
        </w:rPr>
        <w:t>.</w:t>
      </w:r>
    </w:p>
    <w:p w:rsidR="005F34B3" w:rsidRPr="00097FE5" w:rsidRDefault="00714871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  <w:lang w:val="en-US"/>
        </w:rPr>
        <w:t>Review s</w:t>
      </w:r>
      <w:r w:rsidR="005F34B3" w:rsidRPr="00097FE5">
        <w:rPr>
          <w:rFonts w:ascii="Verdana" w:hAnsi="Verdana"/>
          <w:sz w:val="20"/>
          <w:szCs w:val="20"/>
          <w:lang w:val="en-US"/>
        </w:rPr>
        <w:t xml:space="preserve">ection 2 of </w:t>
      </w:r>
      <w:r w:rsidR="005F34B3" w:rsidRPr="00097FE5">
        <w:rPr>
          <w:rFonts w:ascii="Verdana" w:hAnsi="Verdana"/>
          <w:i/>
          <w:sz w:val="20"/>
          <w:szCs w:val="20"/>
          <w:lang w:val="en-US"/>
        </w:rPr>
        <w:t>BMP5</w:t>
      </w:r>
      <w:r w:rsidRPr="00097FE5">
        <w:rPr>
          <w:rFonts w:ascii="Verdana" w:hAnsi="Verdana"/>
          <w:sz w:val="20"/>
          <w:szCs w:val="20"/>
          <w:lang w:val="en-US"/>
        </w:rPr>
        <w:t>, which outlines threats</w:t>
      </w:r>
      <w:r w:rsidR="005F34B3" w:rsidRPr="00097FE5">
        <w:rPr>
          <w:rFonts w:ascii="Verdana" w:hAnsi="Verdana"/>
          <w:sz w:val="20"/>
          <w:szCs w:val="20"/>
          <w:lang w:val="en-US"/>
        </w:rPr>
        <w:t>.</w:t>
      </w:r>
    </w:p>
    <w:p w:rsidR="004F60E3" w:rsidRPr="00097FE5" w:rsidRDefault="00C5766D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 xml:space="preserve">Maintain </w:t>
      </w:r>
      <w:r w:rsidR="00A52420" w:rsidRPr="00097FE5">
        <w:rPr>
          <w:rFonts w:ascii="Verdana" w:hAnsi="Verdana"/>
          <w:sz w:val="20"/>
          <w:szCs w:val="20"/>
        </w:rPr>
        <w:t xml:space="preserve">a </w:t>
      </w:r>
      <w:r w:rsidR="006E4896" w:rsidRPr="00097FE5">
        <w:rPr>
          <w:rFonts w:ascii="Verdana" w:hAnsi="Verdana"/>
          <w:sz w:val="20"/>
          <w:szCs w:val="20"/>
        </w:rPr>
        <w:t xml:space="preserve">full </w:t>
      </w:r>
      <w:r w:rsidR="004F60E3" w:rsidRPr="00097FE5">
        <w:rPr>
          <w:rFonts w:ascii="Verdana" w:hAnsi="Verdana"/>
          <w:sz w:val="20"/>
          <w:szCs w:val="20"/>
        </w:rPr>
        <w:t xml:space="preserve">and vigilant </w:t>
      </w:r>
      <w:r w:rsidR="006E4896" w:rsidRPr="00097FE5">
        <w:rPr>
          <w:rFonts w:ascii="Verdana" w:hAnsi="Verdana"/>
          <w:sz w:val="20"/>
          <w:szCs w:val="20"/>
        </w:rPr>
        <w:t>bridge watch for vessels at anchor</w:t>
      </w:r>
      <w:r w:rsidR="004F60E3" w:rsidRPr="00097FE5">
        <w:rPr>
          <w:rFonts w:ascii="Verdana" w:hAnsi="Verdana"/>
          <w:sz w:val="20"/>
          <w:szCs w:val="20"/>
        </w:rPr>
        <w:t>.</w:t>
      </w:r>
    </w:p>
    <w:p w:rsidR="004F60E3" w:rsidRPr="00097FE5" w:rsidRDefault="00933455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 xml:space="preserve">Implement </w:t>
      </w:r>
      <w:r w:rsidR="00C5766D" w:rsidRPr="00097FE5">
        <w:rPr>
          <w:rFonts w:ascii="Verdana" w:hAnsi="Verdana"/>
          <w:sz w:val="20"/>
          <w:szCs w:val="20"/>
        </w:rPr>
        <w:t>deck patrols</w:t>
      </w:r>
      <w:r w:rsidR="004F60E3" w:rsidRPr="00097FE5">
        <w:rPr>
          <w:rFonts w:ascii="Verdana" w:hAnsi="Verdana"/>
          <w:sz w:val="20"/>
          <w:szCs w:val="20"/>
        </w:rPr>
        <w:t>.</w:t>
      </w:r>
    </w:p>
    <w:p w:rsidR="00A52420" w:rsidRPr="00097FE5" w:rsidRDefault="00C5766D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Implement a</w:t>
      </w:r>
      <w:r w:rsidR="00A52420" w:rsidRPr="00097FE5">
        <w:rPr>
          <w:rFonts w:ascii="Verdana" w:hAnsi="Verdana"/>
          <w:sz w:val="20"/>
          <w:szCs w:val="20"/>
        </w:rPr>
        <w:t xml:space="preserve"> waterborne security patrol.</w:t>
      </w:r>
    </w:p>
    <w:p w:rsidR="00BF12FF" w:rsidRPr="00097FE5" w:rsidRDefault="00A52420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M</w:t>
      </w:r>
      <w:r w:rsidR="00933455" w:rsidRPr="00097FE5">
        <w:rPr>
          <w:rFonts w:ascii="Verdana" w:hAnsi="Verdana"/>
          <w:sz w:val="20"/>
          <w:szCs w:val="20"/>
        </w:rPr>
        <w:t xml:space="preserve">aintain </w:t>
      </w:r>
      <w:r w:rsidRPr="00097FE5">
        <w:rPr>
          <w:rFonts w:ascii="Verdana" w:hAnsi="Verdana"/>
          <w:sz w:val="20"/>
          <w:szCs w:val="20"/>
        </w:rPr>
        <w:t xml:space="preserve">a strict communications watch </w:t>
      </w:r>
      <w:r w:rsidR="00933455" w:rsidRPr="00097FE5">
        <w:rPr>
          <w:rFonts w:ascii="Verdana" w:hAnsi="Verdana"/>
          <w:sz w:val="20"/>
          <w:szCs w:val="20"/>
        </w:rPr>
        <w:t xml:space="preserve">and </w:t>
      </w:r>
      <w:r w:rsidR="00C5766D" w:rsidRPr="00097FE5">
        <w:rPr>
          <w:rFonts w:ascii="Verdana" w:hAnsi="Verdana"/>
          <w:sz w:val="20"/>
          <w:szCs w:val="20"/>
        </w:rPr>
        <w:t xml:space="preserve">establish </w:t>
      </w:r>
      <w:r w:rsidR="00933455" w:rsidRPr="00097FE5">
        <w:rPr>
          <w:rFonts w:ascii="Verdana" w:hAnsi="Verdana"/>
          <w:sz w:val="20"/>
          <w:szCs w:val="20"/>
        </w:rPr>
        <w:t>communication</w:t>
      </w:r>
      <w:r w:rsidRPr="00097FE5">
        <w:rPr>
          <w:rFonts w:ascii="Verdana" w:hAnsi="Verdana"/>
          <w:sz w:val="20"/>
          <w:szCs w:val="20"/>
        </w:rPr>
        <w:t xml:space="preserve"> </w:t>
      </w:r>
      <w:r w:rsidR="00933455" w:rsidRPr="00097FE5">
        <w:rPr>
          <w:rFonts w:ascii="Verdana" w:hAnsi="Verdana"/>
          <w:sz w:val="20"/>
          <w:szCs w:val="20"/>
        </w:rPr>
        <w:t xml:space="preserve">with </w:t>
      </w:r>
      <w:r w:rsidR="00BF12FF" w:rsidRPr="00097FE5">
        <w:rPr>
          <w:rFonts w:ascii="Verdana" w:hAnsi="Verdana"/>
          <w:sz w:val="20"/>
          <w:szCs w:val="20"/>
        </w:rPr>
        <w:t>all vessels coming close.</w:t>
      </w:r>
    </w:p>
    <w:p w:rsidR="00BF12FF" w:rsidRPr="00097FE5" w:rsidRDefault="00933455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 xml:space="preserve">Ensure </w:t>
      </w:r>
      <w:r w:rsidR="00C5766D" w:rsidRPr="00097FE5">
        <w:rPr>
          <w:rFonts w:ascii="Verdana" w:hAnsi="Verdana"/>
          <w:sz w:val="20"/>
          <w:szCs w:val="20"/>
        </w:rPr>
        <w:t xml:space="preserve">strict </w:t>
      </w:r>
      <w:r w:rsidR="00BF12FF" w:rsidRPr="00097FE5">
        <w:rPr>
          <w:rFonts w:ascii="Verdana" w:hAnsi="Verdana"/>
          <w:sz w:val="20"/>
          <w:szCs w:val="20"/>
        </w:rPr>
        <w:t>boarding controls are in place.</w:t>
      </w:r>
    </w:p>
    <w:p w:rsidR="00BF12FF" w:rsidRPr="00097FE5" w:rsidRDefault="00C5766D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Only lower a</w:t>
      </w:r>
      <w:r w:rsidR="00974323" w:rsidRPr="00097FE5">
        <w:rPr>
          <w:rFonts w:ascii="Verdana" w:hAnsi="Verdana"/>
          <w:sz w:val="20"/>
          <w:szCs w:val="20"/>
        </w:rPr>
        <w:t>ccommodation gangways or ladders when necessary.</w:t>
      </w:r>
    </w:p>
    <w:p w:rsidR="006E4896" w:rsidRPr="00097FE5" w:rsidRDefault="00C5766D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Rig o</w:t>
      </w:r>
      <w:r w:rsidR="00256D18" w:rsidRPr="00097FE5">
        <w:rPr>
          <w:rFonts w:ascii="Verdana" w:hAnsi="Verdana"/>
          <w:sz w:val="20"/>
          <w:szCs w:val="20"/>
        </w:rPr>
        <w:t>utboard lighting where possible</w:t>
      </w:r>
      <w:r w:rsidRPr="00097FE5">
        <w:rPr>
          <w:rFonts w:ascii="Verdana" w:hAnsi="Verdana"/>
          <w:sz w:val="20"/>
          <w:szCs w:val="20"/>
        </w:rPr>
        <w:t>,</w:t>
      </w:r>
      <w:r w:rsidR="006E4896" w:rsidRPr="00097FE5">
        <w:rPr>
          <w:rFonts w:ascii="Verdana" w:hAnsi="Verdana"/>
          <w:sz w:val="20"/>
          <w:szCs w:val="20"/>
        </w:rPr>
        <w:t xml:space="preserve"> particularly over the stern and rig</w:t>
      </w:r>
      <w:r w:rsidR="009A716B" w:rsidRPr="00097FE5">
        <w:rPr>
          <w:rFonts w:ascii="Verdana" w:hAnsi="Verdana"/>
          <w:sz w:val="20"/>
          <w:szCs w:val="20"/>
        </w:rPr>
        <w:t>/</w:t>
      </w:r>
      <w:r w:rsidR="00A52420" w:rsidRPr="00097FE5">
        <w:rPr>
          <w:rFonts w:ascii="Verdana" w:hAnsi="Verdana"/>
          <w:sz w:val="20"/>
          <w:szCs w:val="20"/>
        </w:rPr>
        <w:t>use</w:t>
      </w:r>
      <w:r w:rsidR="006E4896" w:rsidRPr="00097FE5">
        <w:rPr>
          <w:rFonts w:ascii="Verdana" w:hAnsi="Verdana"/>
          <w:sz w:val="20"/>
          <w:szCs w:val="20"/>
        </w:rPr>
        <w:t xml:space="preserve"> searchlights if available.</w:t>
      </w:r>
    </w:p>
    <w:p w:rsidR="00974323" w:rsidRPr="00097FE5" w:rsidRDefault="00C5766D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Report a</w:t>
      </w:r>
      <w:r w:rsidR="00974323" w:rsidRPr="00097FE5">
        <w:rPr>
          <w:rFonts w:ascii="Verdana" w:hAnsi="Verdana"/>
          <w:sz w:val="20"/>
          <w:szCs w:val="20"/>
        </w:rPr>
        <w:t xml:space="preserve">ny suspicious activity immediately to both the port and UKMTO </w:t>
      </w:r>
      <w:r w:rsidR="00974323" w:rsidRPr="002E29F3">
        <w:rPr>
          <w:rFonts w:ascii="Verdana" w:hAnsi="Verdana"/>
          <w:b/>
          <w:sz w:val="20"/>
          <w:szCs w:val="20"/>
        </w:rPr>
        <w:t>+442392222060</w:t>
      </w:r>
      <w:r w:rsidR="00974323" w:rsidRPr="00097FE5">
        <w:rPr>
          <w:rFonts w:ascii="Verdana" w:hAnsi="Verdana"/>
          <w:sz w:val="20"/>
          <w:szCs w:val="20"/>
        </w:rPr>
        <w:t>.</w:t>
      </w:r>
    </w:p>
    <w:p w:rsidR="00256D18" w:rsidRPr="00097FE5" w:rsidRDefault="00256D18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Monitor relevant VHF and other communication channels.</w:t>
      </w:r>
    </w:p>
    <w:p w:rsidR="00BF12FF" w:rsidRPr="00097FE5" w:rsidRDefault="00BF12FF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Check</w:t>
      </w:r>
      <w:r w:rsidR="00A52420" w:rsidRPr="00097FE5">
        <w:rPr>
          <w:rFonts w:ascii="Verdana" w:hAnsi="Verdana"/>
          <w:sz w:val="20"/>
          <w:szCs w:val="20"/>
        </w:rPr>
        <w:t xml:space="preserve"> </w:t>
      </w:r>
      <w:r w:rsidRPr="00097FE5">
        <w:rPr>
          <w:rFonts w:ascii="Verdana" w:hAnsi="Verdana"/>
          <w:sz w:val="20"/>
          <w:szCs w:val="20"/>
        </w:rPr>
        <w:t xml:space="preserve">all fire-fighting equipment is available for immediate use. </w:t>
      </w:r>
      <w:r w:rsidR="00C5766D" w:rsidRPr="00097FE5">
        <w:rPr>
          <w:rFonts w:ascii="Verdana" w:hAnsi="Verdana"/>
          <w:sz w:val="20"/>
          <w:szCs w:val="20"/>
        </w:rPr>
        <w:t>Make sure the emergency fire pump is available</w:t>
      </w:r>
      <w:r w:rsidRPr="00097FE5">
        <w:rPr>
          <w:rFonts w:ascii="Verdana" w:hAnsi="Verdana"/>
          <w:sz w:val="20"/>
          <w:szCs w:val="20"/>
        </w:rPr>
        <w:t xml:space="preserve"> if </w:t>
      </w:r>
      <w:r w:rsidR="00C5766D" w:rsidRPr="00097FE5">
        <w:rPr>
          <w:rFonts w:ascii="Verdana" w:hAnsi="Verdana"/>
          <w:sz w:val="20"/>
          <w:szCs w:val="20"/>
        </w:rPr>
        <w:t xml:space="preserve">any </w:t>
      </w:r>
      <w:r w:rsidRPr="00097FE5">
        <w:rPr>
          <w:rFonts w:ascii="Verdana" w:hAnsi="Verdana"/>
          <w:sz w:val="20"/>
          <w:szCs w:val="20"/>
        </w:rPr>
        <w:t>maintenance is being undertaken</w:t>
      </w:r>
      <w:r w:rsidR="00C5766D" w:rsidRPr="00097FE5">
        <w:rPr>
          <w:rFonts w:ascii="Verdana" w:hAnsi="Verdana"/>
          <w:sz w:val="20"/>
          <w:szCs w:val="20"/>
        </w:rPr>
        <w:t>.</w:t>
      </w:r>
    </w:p>
    <w:p w:rsidR="00BF12FF" w:rsidRDefault="00C5766D" w:rsidP="00097FE5">
      <w:pPr>
        <w:pStyle w:val="NoSpacing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Keep the Automatic Information System (</w:t>
      </w:r>
      <w:r w:rsidR="00BF12FF" w:rsidRPr="00097FE5">
        <w:rPr>
          <w:rFonts w:ascii="Verdana" w:hAnsi="Verdana"/>
          <w:sz w:val="20"/>
          <w:szCs w:val="20"/>
        </w:rPr>
        <w:t>AIS</w:t>
      </w:r>
      <w:r w:rsidRPr="00097FE5">
        <w:rPr>
          <w:rFonts w:ascii="Verdana" w:hAnsi="Verdana"/>
          <w:sz w:val="20"/>
          <w:szCs w:val="20"/>
        </w:rPr>
        <w:t>)</w:t>
      </w:r>
      <w:r w:rsidR="00DF76F0" w:rsidRPr="00097FE5">
        <w:rPr>
          <w:rFonts w:ascii="Verdana" w:hAnsi="Verdana"/>
          <w:sz w:val="20"/>
          <w:szCs w:val="20"/>
        </w:rPr>
        <w:t xml:space="preserve"> on</w:t>
      </w:r>
      <w:r w:rsidR="00714871" w:rsidRPr="00097FE5">
        <w:rPr>
          <w:rFonts w:ascii="Verdana" w:hAnsi="Verdana"/>
          <w:sz w:val="20"/>
          <w:szCs w:val="20"/>
        </w:rPr>
        <w:t>. T</w:t>
      </w:r>
      <w:r w:rsidR="00BF12FF" w:rsidRPr="00097FE5">
        <w:rPr>
          <w:rFonts w:ascii="Verdana" w:hAnsi="Verdana"/>
          <w:sz w:val="20"/>
          <w:szCs w:val="20"/>
        </w:rPr>
        <w:t xml:space="preserve">here is no need to </w:t>
      </w:r>
      <w:r w:rsidR="00714871" w:rsidRPr="00097FE5">
        <w:rPr>
          <w:rFonts w:ascii="Verdana" w:hAnsi="Verdana"/>
          <w:sz w:val="20"/>
          <w:szCs w:val="20"/>
        </w:rPr>
        <w:t>complete the field stating</w:t>
      </w:r>
      <w:r w:rsidR="00BF12FF" w:rsidRPr="00097FE5">
        <w:rPr>
          <w:rFonts w:ascii="Verdana" w:hAnsi="Verdana"/>
          <w:sz w:val="20"/>
          <w:szCs w:val="20"/>
        </w:rPr>
        <w:t xml:space="preserve"> the</w:t>
      </w:r>
      <w:r w:rsidR="00974323" w:rsidRPr="00097FE5">
        <w:rPr>
          <w:rFonts w:ascii="Verdana" w:hAnsi="Verdana"/>
          <w:sz w:val="20"/>
          <w:szCs w:val="20"/>
        </w:rPr>
        <w:t xml:space="preserve"> last or</w:t>
      </w:r>
      <w:r w:rsidR="00BF12FF" w:rsidRPr="00097FE5">
        <w:rPr>
          <w:rFonts w:ascii="Verdana" w:hAnsi="Verdana"/>
          <w:sz w:val="20"/>
          <w:szCs w:val="20"/>
        </w:rPr>
        <w:t xml:space="preserve"> next port</w:t>
      </w:r>
      <w:r w:rsidR="00714871" w:rsidRPr="00097FE5">
        <w:rPr>
          <w:rFonts w:ascii="Verdana" w:hAnsi="Verdana"/>
          <w:sz w:val="20"/>
          <w:szCs w:val="20"/>
        </w:rPr>
        <w:t xml:space="preserve"> of call</w:t>
      </w:r>
      <w:r w:rsidR="00097FE5">
        <w:rPr>
          <w:rFonts w:ascii="Verdana" w:hAnsi="Verdana"/>
          <w:sz w:val="20"/>
          <w:szCs w:val="20"/>
        </w:rPr>
        <w:t>.</w:t>
      </w:r>
    </w:p>
    <w:p w:rsidR="00097FE5" w:rsidRPr="00097FE5" w:rsidRDefault="00097FE5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80551C" w:rsidRPr="00265B93" w:rsidRDefault="0080551C" w:rsidP="00097FE5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265B93">
        <w:rPr>
          <w:rFonts w:ascii="Verdana" w:hAnsi="Verdana"/>
          <w:b/>
          <w:sz w:val="20"/>
          <w:szCs w:val="20"/>
        </w:rPr>
        <w:lastRenderedPageBreak/>
        <w:t xml:space="preserve">Additional measures Operators </w:t>
      </w:r>
      <w:r w:rsidR="00BB65C3">
        <w:rPr>
          <w:rFonts w:ascii="Verdana" w:hAnsi="Verdana"/>
          <w:b/>
          <w:sz w:val="20"/>
          <w:szCs w:val="20"/>
        </w:rPr>
        <w:t>may</w:t>
      </w:r>
      <w:r w:rsidRPr="00265B93">
        <w:rPr>
          <w:rFonts w:ascii="Verdana" w:hAnsi="Verdana"/>
          <w:b/>
          <w:sz w:val="20"/>
          <w:szCs w:val="20"/>
        </w:rPr>
        <w:t xml:space="preserve"> wish to take if alerted to suspicious activity </w:t>
      </w:r>
      <w:bookmarkStart w:id="0" w:name="_GoBack"/>
      <w:bookmarkEnd w:id="0"/>
      <w:r w:rsidRPr="00265B93">
        <w:rPr>
          <w:rFonts w:ascii="Verdana" w:hAnsi="Verdana"/>
          <w:b/>
          <w:sz w:val="20"/>
          <w:szCs w:val="20"/>
        </w:rPr>
        <w:t>include:</w:t>
      </w:r>
    </w:p>
    <w:p w:rsidR="0080551C" w:rsidRPr="00097FE5" w:rsidRDefault="0080551C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80551C" w:rsidRPr="00097FE5" w:rsidRDefault="0080551C" w:rsidP="00265B93">
      <w:pPr>
        <w:pStyle w:val="NoSpacing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Rotate the propeller continuously or at short, irregular intervals.</w:t>
      </w:r>
    </w:p>
    <w:p w:rsidR="0080551C" w:rsidRPr="00097FE5" w:rsidRDefault="0080551C" w:rsidP="00265B93">
      <w:pPr>
        <w:pStyle w:val="NoSpacing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Operate bow and stern thrusters at zero (0) thrust.</w:t>
      </w:r>
    </w:p>
    <w:p w:rsidR="0080551C" w:rsidRPr="00097FE5" w:rsidRDefault="0080551C" w:rsidP="00265B93">
      <w:pPr>
        <w:pStyle w:val="NoSpacing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Turn the rudder frequently.</w:t>
      </w:r>
    </w:p>
    <w:p w:rsidR="0080551C" w:rsidRPr="00097FE5" w:rsidRDefault="0080551C" w:rsidP="00265B93">
      <w:pPr>
        <w:pStyle w:val="NoSpacing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Switch the echo sounder to transmit counter/combat swimmer/diver threat.</w:t>
      </w:r>
    </w:p>
    <w:p w:rsidR="0080551C" w:rsidRPr="00097FE5" w:rsidRDefault="0080551C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80551C" w:rsidRPr="00097FE5" w:rsidRDefault="0080551C" w:rsidP="00097FE5">
      <w:pPr>
        <w:pStyle w:val="NoSpacing"/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See NATO ATP2 doctrine for more details.</w:t>
      </w:r>
    </w:p>
    <w:p w:rsidR="00A52420" w:rsidRPr="00097FE5" w:rsidRDefault="00A52420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845F87" w:rsidRPr="00097FE5" w:rsidRDefault="00845F87" w:rsidP="00097FE5">
      <w:pPr>
        <w:pStyle w:val="NoSpacing"/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Download</w:t>
      </w:r>
      <w:r w:rsidRPr="00097FE5">
        <w:rPr>
          <w:rFonts w:ascii="Verdana" w:hAnsi="Verdana"/>
          <w:i/>
          <w:sz w:val="20"/>
          <w:szCs w:val="20"/>
        </w:rPr>
        <w:t xml:space="preserve"> </w:t>
      </w:r>
      <w:hyperlink r:id="rId7" w:history="1">
        <w:r w:rsidRPr="00097FE5">
          <w:rPr>
            <w:rStyle w:val="Hyperlink"/>
            <w:rFonts w:ascii="Verdana" w:hAnsi="Verdana" w:cstheme="minorHAnsi"/>
            <w:i/>
            <w:sz w:val="20"/>
            <w:szCs w:val="20"/>
          </w:rPr>
          <w:t>BMP5: Best Management Practices to Deter Piracy and Enhance Maritime Security in the Red Sea, Gulf of Aden, Indian Ocean and Arabian Sea</w:t>
        </w:r>
        <w:r w:rsidR="00714871" w:rsidRPr="00097FE5">
          <w:rPr>
            <w:rStyle w:val="Hyperlink"/>
            <w:rFonts w:ascii="Verdana" w:hAnsi="Verdana" w:cstheme="minorHAnsi"/>
            <w:sz w:val="20"/>
            <w:szCs w:val="20"/>
          </w:rPr>
          <w:t>.</w:t>
        </w:r>
      </w:hyperlink>
      <w:r w:rsidR="00B275D3" w:rsidRPr="00097FE5">
        <w:rPr>
          <w:rFonts w:ascii="Verdana" w:hAnsi="Verdana"/>
          <w:sz w:val="20"/>
          <w:szCs w:val="20"/>
        </w:rPr>
        <w:t xml:space="preserve"> </w:t>
      </w:r>
    </w:p>
    <w:p w:rsidR="00060E59" w:rsidRPr="00097FE5" w:rsidRDefault="00060E59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060E59" w:rsidRPr="00097FE5" w:rsidRDefault="0010779D" w:rsidP="00097FE5">
      <w:pPr>
        <w:pStyle w:val="NoSpacing"/>
        <w:jc w:val="both"/>
        <w:rPr>
          <w:rFonts w:ascii="Verdana" w:hAnsi="Verdana"/>
          <w:sz w:val="20"/>
          <w:szCs w:val="20"/>
        </w:rPr>
      </w:pPr>
      <w:hyperlink r:id="rId8" w:history="1">
        <w:r w:rsidR="00714871" w:rsidRPr="00097FE5">
          <w:rPr>
            <w:rStyle w:val="Hyperlink"/>
            <w:rFonts w:ascii="Verdana" w:hAnsi="Verdana" w:cstheme="minorHAnsi"/>
            <w:sz w:val="20"/>
            <w:szCs w:val="20"/>
          </w:rPr>
          <w:t xml:space="preserve">OCIMF’s </w:t>
        </w:r>
        <w:r w:rsidR="00714871" w:rsidRPr="00097FE5">
          <w:rPr>
            <w:rStyle w:val="Hyperlink"/>
            <w:rFonts w:ascii="Verdana" w:hAnsi="Verdana" w:cstheme="minorHAnsi"/>
            <w:i/>
            <w:sz w:val="20"/>
            <w:szCs w:val="20"/>
          </w:rPr>
          <w:t>Ship Security: Hull Vulnerability Study</w:t>
        </w:r>
      </w:hyperlink>
      <w:r w:rsidR="00714871" w:rsidRPr="00097FE5">
        <w:rPr>
          <w:rFonts w:ascii="Verdana" w:hAnsi="Verdana"/>
          <w:sz w:val="20"/>
          <w:szCs w:val="20"/>
        </w:rPr>
        <w:t xml:space="preserve"> is also a useful reference.</w:t>
      </w:r>
    </w:p>
    <w:p w:rsidR="003514F0" w:rsidRPr="00097FE5" w:rsidRDefault="003514F0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3514F0" w:rsidRPr="00097FE5" w:rsidRDefault="003514F0" w:rsidP="00097FE5">
      <w:pPr>
        <w:pStyle w:val="NoSpacing"/>
        <w:jc w:val="both"/>
        <w:rPr>
          <w:rFonts w:ascii="Verdana" w:hAnsi="Verdana"/>
          <w:sz w:val="20"/>
          <w:szCs w:val="20"/>
        </w:rPr>
      </w:pPr>
      <w:r w:rsidRPr="00097FE5">
        <w:rPr>
          <w:rFonts w:ascii="Verdana" w:hAnsi="Verdana"/>
          <w:sz w:val="20"/>
          <w:szCs w:val="20"/>
        </w:rPr>
        <w:t>NATO ATP2</w:t>
      </w:r>
      <w:r w:rsidR="00986C91" w:rsidRPr="00097FE5">
        <w:rPr>
          <w:rFonts w:ascii="Verdana" w:hAnsi="Verdana"/>
          <w:sz w:val="20"/>
          <w:szCs w:val="20"/>
        </w:rPr>
        <w:t xml:space="preserve">: </w:t>
      </w:r>
      <w:hyperlink r:id="rId9" w:history="1">
        <w:r w:rsidR="00986C91" w:rsidRPr="00097FE5">
          <w:rPr>
            <w:rStyle w:val="Hyperlink"/>
            <w:rFonts w:ascii="Verdana" w:hAnsi="Verdana" w:cs="Helvetica"/>
            <w:sz w:val="20"/>
            <w:szCs w:val="20"/>
          </w:rPr>
          <w:t>NCAGS Guide to Owners, Operators, Masters and Officers Edition A Version 1</w:t>
        </w:r>
        <w:r w:rsidR="00C27635" w:rsidRPr="00097FE5">
          <w:rPr>
            <w:rStyle w:val="Hyperlink"/>
            <w:rFonts w:ascii="Verdana" w:hAnsi="Verdana" w:cs="Helvetica"/>
            <w:sz w:val="20"/>
            <w:szCs w:val="20"/>
          </w:rPr>
          <w:t xml:space="preserve"> Annex D to Chp 4</w:t>
        </w:r>
      </w:hyperlink>
    </w:p>
    <w:p w:rsidR="00F91E15" w:rsidRPr="00097FE5" w:rsidRDefault="00F91E15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F91E15" w:rsidRPr="00097FE5" w:rsidRDefault="00F91E15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275D3" w:rsidRPr="00097FE5" w:rsidRDefault="00B275D3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B275D3" w:rsidRPr="00097FE5" w:rsidRDefault="00B275D3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845F87" w:rsidRPr="00097FE5" w:rsidRDefault="00845F87" w:rsidP="00097FE5">
      <w:pPr>
        <w:pStyle w:val="NoSpacing"/>
        <w:jc w:val="both"/>
        <w:rPr>
          <w:rFonts w:ascii="Verdana" w:hAnsi="Verdana"/>
          <w:sz w:val="20"/>
          <w:szCs w:val="20"/>
        </w:rPr>
      </w:pPr>
    </w:p>
    <w:sectPr w:rsidR="00845F87" w:rsidRPr="00097FE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9D" w:rsidRDefault="0010779D" w:rsidP="00C85F55">
      <w:pPr>
        <w:spacing w:after="0" w:line="240" w:lineRule="auto"/>
      </w:pPr>
      <w:r>
        <w:separator/>
      </w:r>
    </w:p>
  </w:endnote>
  <w:endnote w:type="continuationSeparator" w:id="0">
    <w:p w:rsidR="0010779D" w:rsidRDefault="0010779D" w:rsidP="00C8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9D" w:rsidRDefault="0010779D" w:rsidP="00C85F55">
      <w:pPr>
        <w:spacing w:after="0" w:line="240" w:lineRule="auto"/>
      </w:pPr>
      <w:r>
        <w:separator/>
      </w:r>
    </w:p>
  </w:footnote>
  <w:footnote w:type="continuationSeparator" w:id="0">
    <w:p w:rsidR="0010779D" w:rsidRDefault="0010779D" w:rsidP="00C8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55" w:rsidRDefault="00C85F55" w:rsidP="00C85F55">
    <w:pPr>
      <w:pStyle w:val="NoSpacing"/>
      <w:ind w:left="1440" w:firstLine="720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en-GB"/>
      </w:rPr>
      <w:drawing>
        <wp:inline distT="0" distB="0" distL="0" distR="0" wp14:anchorId="2C8E1D8B" wp14:editId="6310201B">
          <wp:extent cx="1755288" cy="620202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-O Logo Vertical_300px_wid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813" cy="626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20"/>
        <w:szCs w:val="20"/>
        <w:lang w:eastAsia="en-GB"/>
      </w:rPr>
      <w:drawing>
        <wp:inline distT="0" distB="0" distL="0" distR="0" wp14:anchorId="7CAC9800" wp14:editId="0450434C">
          <wp:extent cx="984737" cy="66791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IM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949" cy="68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F55" w:rsidRDefault="00C85F55" w:rsidP="00C85F55">
    <w:pPr>
      <w:pStyle w:val="NoSpacing"/>
      <w:ind w:left="1440" w:firstLine="720"/>
      <w:jc w:val="both"/>
      <w:rPr>
        <w:rFonts w:ascii="Verdana" w:hAnsi="Verdana"/>
        <w:b/>
        <w:sz w:val="20"/>
        <w:szCs w:val="20"/>
      </w:rPr>
    </w:pPr>
  </w:p>
  <w:p w:rsidR="00C85F55" w:rsidRDefault="00C85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13E"/>
    <w:multiLevelType w:val="hybridMultilevel"/>
    <w:tmpl w:val="5FCC8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025EC"/>
    <w:multiLevelType w:val="hybridMultilevel"/>
    <w:tmpl w:val="91F25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F7CCE"/>
    <w:multiLevelType w:val="hybridMultilevel"/>
    <w:tmpl w:val="90327A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5CA8"/>
    <w:multiLevelType w:val="hybridMultilevel"/>
    <w:tmpl w:val="D73A55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20FAB"/>
    <w:multiLevelType w:val="hybridMultilevel"/>
    <w:tmpl w:val="78A4B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E7AE0"/>
    <w:multiLevelType w:val="hybridMultilevel"/>
    <w:tmpl w:val="86F0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0B1F"/>
    <w:multiLevelType w:val="hybridMultilevel"/>
    <w:tmpl w:val="57CED8E6"/>
    <w:lvl w:ilvl="0" w:tplc="08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CA10362"/>
    <w:multiLevelType w:val="hybridMultilevel"/>
    <w:tmpl w:val="AEC65C5C"/>
    <w:lvl w:ilvl="0" w:tplc="1AE06C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1AEF"/>
    <w:multiLevelType w:val="hybridMultilevel"/>
    <w:tmpl w:val="D520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7840"/>
    <w:multiLevelType w:val="hybridMultilevel"/>
    <w:tmpl w:val="EC86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59DC"/>
    <w:multiLevelType w:val="hybridMultilevel"/>
    <w:tmpl w:val="3F3EB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59"/>
    <w:rsid w:val="000039BB"/>
    <w:rsid w:val="000072F6"/>
    <w:rsid w:val="0000779F"/>
    <w:rsid w:val="00010AC2"/>
    <w:rsid w:val="00013E93"/>
    <w:rsid w:val="00017775"/>
    <w:rsid w:val="00060E59"/>
    <w:rsid w:val="000621F2"/>
    <w:rsid w:val="00097FE5"/>
    <w:rsid w:val="000E70BC"/>
    <w:rsid w:val="0010779D"/>
    <w:rsid w:val="00122210"/>
    <w:rsid w:val="00131F1C"/>
    <w:rsid w:val="001853AE"/>
    <w:rsid w:val="001A3BB7"/>
    <w:rsid w:val="001A5300"/>
    <w:rsid w:val="00250851"/>
    <w:rsid w:val="00256D18"/>
    <w:rsid w:val="00265B93"/>
    <w:rsid w:val="002A7E33"/>
    <w:rsid w:val="002E29F3"/>
    <w:rsid w:val="00320809"/>
    <w:rsid w:val="003514F0"/>
    <w:rsid w:val="00422B0C"/>
    <w:rsid w:val="004B2D7A"/>
    <w:rsid w:val="004D1D2F"/>
    <w:rsid w:val="004F60E3"/>
    <w:rsid w:val="005659F0"/>
    <w:rsid w:val="005F34B3"/>
    <w:rsid w:val="006E4896"/>
    <w:rsid w:val="006F5BA5"/>
    <w:rsid w:val="00714871"/>
    <w:rsid w:val="007171D9"/>
    <w:rsid w:val="0073483A"/>
    <w:rsid w:val="00797128"/>
    <w:rsid w:val="007D15A4"/>
    <w:rsid w:val="0080551C"/>
    <w:rsid w:val="00807554"/>
    <w:rsid w:val="008100E2"/>
    <w:rsid w:val="00834CB9"/>
    <w:rsid w:val="00845F87"/>
    <w:rsid w:val="00890425"/>
    <w:rsid w:val="008961C9"/>
    <w:rsid w:val="008C4C9F"/>
    <w:rsid w:val="00903446"/>
    <w:rsid w:val="00933455"/>
    <w:rsid w:val="00974323"/>
    <w:rsid w:val="00986C91"/>
    <w:rsid w:val="009A716B"/>
    <w:rsid w:val="00A52420"/>
    <w:rsid w:val="00A85130"/>
    <w:rsid w:val="00A94776"/>
    <w:rsid w:val="00AE421C"/>
    <w:rsid w:val="00B06559"/>
    <w:rsid w:val="00B1652C"/>
    <w:rsid w:val="00B275D3"/>
    <w:rsid w:val="00B606F2"/>
    <w:rsid w:val="00B81512"/>
    <w:rsid w:val="00BB217D"/>
    <w:rsid w:val="00BB65C3"/>
    <w:rsid w:val="00BD15D2"/>
    <w:rsid w:val="00BF12FF"/>
    <w:rsid w:val="00C27635"/>
    <w:rsid w:val="00C3095F"/>
    <w:rsid w:val="00C5766D"/>
    <w:rsid w:val="00C8214C"/>
    <w:rsid w:val="00C85F55"/>
    <w:rsid w:val="00CA05FA"/>
    <w:rsid w:val="00CB7660"/>
    <w:rsid w:val="00D00E30"/>
    <w:rsid w:val="00D46444"/>
    <w:rsid w:val="00D62AB7"/>
    <w:rsid w:val="00D657FF"/>
    <w:rsid w:val="00D70E97"/>
    <w:rsid w:val="00DC3636"/>
    <w:rsid w:val="00DF76F0"/>
    <w:rsid w:val="00E50E04"/>
    <w:rsid w:val="00EC11D3"/>
    <w:rsid w:val="00EC3533"/>
    <w:rsid w:val="00F91E15"/>
    <w:rsid w:val="00FB0689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21DE4-013B-4B3D-BABF-331E8DF2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5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83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0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15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E9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4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55"/>
  </w:style>
  <w:style w:type="paragraph" w:styleId="Footer">
    <w:name w:val="footer"/>
    <w:basedOn w:val="Normal"/>
    <w:link w:val="FooterChar"/>
    <w:uiPriority w:val="99"/>
    <w:unhideWhenUsed/>
    <w:rsid w:val="00C8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imf.org/media/125586/Ship-Security-Hull-Vulnerability-Stud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itimeglobalsecurity.org/media/1038/bmp5-high_r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ipping.nato.int/nsc/media-centre/downloads/document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2976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2019-05-17T08:37:00Z</dcterms:created>
  <dcterms:modified xsi:type="dcterms:W3CDTF">2019-05-17T10:05:00Z</dcterms:modified>
</cp:coreProperties>
</file>